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BB9" w:rsidRPr="0032211A" w:rsidRDefault="003C3F69" w:rsidP="00C8128E">
      <w:pPr>
        <w:tabs>
          <w:tab w:val="left" w:pos="2430"/>
          <w:tab w:val="center" w:pos="4419"/>
        </w:tabs>
        <w:spacing w:after="0" w:line="276" w:lineRule="auto"/>
        <w:rPr>
          <w:rFonts w:ascii="Verdana" w:hAnsi="Verdana" w:cs="Tahoma"/>
          <w:sz w:val="24"/>
          <w:szCs w:val="24"/>
        </w:rPr>
      </w:pPr>
      <w:r w:rsidRPr="0032211A">
        <w:rPr>
          <w:rFonts w:ascii="Verdana" w:hAnsi="Verdana"/>
          <w:noProof/>
        </w:rPr>
        <w:drawing>
          <wp:anchor distT="0" distB="0" distL="114300" distR="114300" simplePos="0" relativeHeight="251657728" behindDoc="1" locked="0" layoutInCell="1" allowOverlap="1">
            <wp:simplePos x="0" y="0"/>
            <wp:positionH relativeFrom="margin">
              <wp:align>left</wp:align>
            </wp:positionH>
            <wp:positionV relativeFrom="paragraph">
              <wp:posOffset>-503023</wp:posOffset>
            </wp:positionV>
            <wp:extent cx="1050951" cy="1050951"/>
            <wp:effectExtent l="0" t="0" r="0" b="0"/>
            <wp:wrapNone/>
            <wp:docPr id="3" name="Imagen 1" descr="C:\Users\Fernando Cardenas\Downloads\Logosímbolo CD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Fernando Cardenas\Downloads\Logosímbolo CDHC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51" cy="1050951"/>
                    </a:xfrm>
                    <a:prstGeom prst="rect">
                      <a:avLst/>
                    </a:prstGeom>
                    <a:noFill/>
                    <a:ln>
                      <a:noFill/>
                    </a:ln>
                  </pic:spPr>
                </pic:pic>
              </a:graphicData>
            </a:graphic>
            <wp14:sizeRelH relativeFrom="page">
              <wp14:pctWidth>0</wp14:pctWidth>
            </wp14:sizeRelH>
            <wp14:sizeRelV relativeFrom="page">
              <wp14:pctHeight>0</wp14:pctHeight>
            </wp14:sizeRelV>
          </wp:anchor>
        </w:drawing>
      </w:r>
      <w:r w:rsidR="00C8128E">
        <w:rPr>
          <w:rFonts w:ascii="Verdana" w:hAnsi="Verdana" w:cs="Tahoma"/>
          <w:sz w:val="24"/>
          <w:szCs w:val="24"/>
        </w:rPr>
        <w:tab/>
      </w:r>
      <w:r w:rsidR="00C8128E">
        <w:rPr>
          <w:rFonts w:ascii="Verdana" w:hAnsi="Verdana" w:cs="Tahoma"/>
          <w:sz w:val="24"/>
          <w:szCs w:val="24"/>
        </w:rPr>
        <w:tab/>
      </w:r>
    </w:p>
    <w:p w:rsidR="00605BB9" w:rsidRPr="0032211A" w:rsidRDefault="00962888" w:rsidP="003E4A10">
      <w:pPr>
        <w:keepNext/>
        <w:tabs>
          <w:tab w:val="left" w:pos="1064"/>
          <w:tab w:val="center" w:pos="3960"/>
        </w:tabs>
        <w:spacing w:after="0" w:line="240" w:lineRule="auto"/>
        <w:contextualSpacing/>
        <w:jc w:val="right"/>
        <w:outlineLvl w:val="1"/>
        <w:rPr>
          <w:rFonts w:ascii="Verdana" w:eastAsia="Times New Roman" w:hAnsi="Verdana" w:cs="Tahoma"/>
          <w:bCs/>
          <w:sz w:val="28"/>
          <w:szCs w:val="28"/>
          <w:lang w:eastAsia="es-ES"/>
        </w:rPr>
      </w:pPr>
      <w:r w:rsidRPr="0032211A">
        <w:rPr>
          <w:rFonts w:ascii="Verdana" w:eastAsia="Verdana" w:hAnsi="Verdana" w:cs="Verdana"/>
          <w:sz w:val="28"/>
          <w:szCs w:val="28"/>
        </w:rPr>
        <w:t>Coordinación General de Promoción e Información</w:t>
      </w:r>
    </w:p>
    <w:p w:rsidR="00605BB9" w:rsidRPr="0032211A" w:rsidRDefault="00C9240E" w:rsidP="0032211A">
      <w:pPr>
        <w:spacing w:after="0" w:line="240" w:lineRule="auto"/>
        <w:contextualSpacing/>
        <w:jc w:val="center"/>
        <w:rPr>
          <w:rFonts w:ascii="Verdana" w:eastAsia="MS Mincho" w:hAnsi="Verdana" w:cs="Tahoma"/>
          <w:sz w:val="28"/>
          <w:szCs w:val="28"/>
          <w:lang w:val="es-ES_tradnl" w:eastAsia="es-ES"/>
        </w:rPr>
      </w:pPr>
      <w:r>
        <w:rPr>
          <w:rFonts w:ascii="Verdana" w:eastAsia="MS Mincho" w:hAnsi="Verdana" w:cs="Tahoma"/>
          <w:sz w:val="28"/>
          <w:szCs w:val="28"/>
          <w:lang w:val="es-ES_tradnl" w:eastAsia="es-ES"/>
        </w:rPr>
        <w:pict>
          <v:rect id="_x0000_i1025" style="width:441.9pt;height:2.25pt" o:hralign="center" o:hrstd="t" o:hrnoshade="t" o:hr="t" fillcolor="gray" stroked="f"/>
        </w:pict>
      </w:r>
    </w:p>
    <w:p w:rsidR="00605BB9" w:rsidRPr="0032211A" w:rsidRDefault="00605BB9" w:rsidP="0032211A">
      <w:pPr>
        <w:widowControl w:val="0"/>
        <w:tabs>
          <w:tab w:val="left" w:pos="0"/>
        </w:tabs>
        <w:autoSpaceDE w:val="0"/>
        <w:autoSpaceDN w:val="0"/>
        <w:adjustRightInd w:val="0"/>
        <w:spacing w:after="0" w:line="240" w:lineRule="auto"/>
        <w:contextualSpacing/>
        <w:jc w:val="center"/>
        <w:rPr>
          <w:rFonts w:ascii="Verdana" w:eastAsia="MS Mincho" w:hAnsi="Verdana" w:cs="Tahoma"/>
          <w:sz w:val="26"/>
          <w:szCs w:val="26"/>
          <w:lang w:val="es-ES_tradnl" w:eastAsia="es-ES"/>
        </w:rPr>
      </w:pPr>
      <w:r w:rsidRPr="0032211A">
        <w:rPr>
          <w:rFonts w:ascii="Verdana" w:eastAsia="MS Mincho" w:hAnsi="Verdana" w:cs="Tahoma"/>
          <w:sz w:val="28"/>
          <w:szCs w:val="28"/>
          <w:lang w:val="es-ES_tradnl" w:eastAsia="es-ES"/>
        </w:rPr>
        <w:t xml:space="preserve">Boletín de prensa </w:t>
      </w:r>
      <w:r w:rsidR="00FE7798">
        <w:rPr>
          <w:rFonts w:ascii="Verdana" w:eastAsia="MS Mincho" w:hAnsi="Verdana" w:cs="Tahoma"/>
          <w:sz w:val="28"/>
          <w:szCs w:val="28"/>
          <w:lang w:val="es-ES_tradnl" w:eastAsia="es-ES"/>
        </w:rPr>
        <w:t>138</w:t>
      </w:r>
      <w:r w:rsidRPr="0032211A">
        <w:rPr>
          <w:rFonts w:ascii="Verdana" w:eastAsia="MS Mincho" w:hAnsi="Verdana" w:cs="Tahoma"/>
          <w:sz w:val="28"/>
          <w:szCs w:val="28"/>
          <w:lang w:val="es-ES_tradnl" w:eastAsia="es-ES"/>
        </w:rPr>
        <w:t>/20</w:t>
      </w:r>
      <w:r w:rsidR="001213C3" w:rsidRPr="0032211A">
        <w:rPr>
          <w:rFonts w:ascii="Verdana" w:eastAsia="MS Mincho" w:hAnsi="Verdana" w:cs="Tahoma"/>
          <w:sz w:val="28"/>
          <w:szCs w:val="28"/>
          <w:lang w:val="es-ES_tradnl" w:eastAsia="es-ES"/>
        </w:rPr>
        <w:t>2</w:t>
      </w:r>
      <w:r w:rsidR="00041545" w:rsidRPr="0032211A">
        <w:rPr>
          <w:rFonts w:ascii="Verdana" w:eastAsia="MS Mincho" w:hAnsi="Verdana" w:cs="Tahoma"/>
          <w:sz w:val="28"/>
          <w:szCs w:val="28"/>
          <w:lang w:val="es-ES_tradnl" w:eastAsia="es-ES"/>
        </w:rPr>
        <w:t>2</w:t>
      </w:r>
    </w:p>
    <w:p w:rsidR="00605BB9" w:rsidRPr="0032211A" w:rsidRDefault="00605BB9" w:rsidP="0032211A">
      <w:pPr>
        <w:widowControl w:val="0"/>
        <w:tabs>
          <w:tab w:val="left" w:pos="0"/>
        </w:tabs>
        <w:autoSpaceDE w:val="0"/>
        <w:autoSpaceDN w:val="0"/>
        <w:adjustRightInd w:val="0"/>
        <w:spacing w:after="0" w:line="240" w:lineRule="auto"/>
        <w:contextualSpacing/>
        <w:rPr>
          <w:rFonts w:ascii="Verdana" w:eastAsia="MS Mincho" w:hAnsi="Verdana" w:cs="Tahoma"/>
          <w:sz w:val="24"/>
          <w:szCs w:val="24"/>
          <w:lang w:val="es-ES_tradnl" w:eastAsia="es-ES"/>
        </w:rPr>
      </w:pPr>
    </w:p>
    <w:p w:rsidR="007B77F2" w:rsidRPr="00886F21" w:rsidRDefault="00605BB9" w:rsidP="00886F21">
      <w:pPr>
        <w:widowControl w:val="0"/>
        <w:tabs>
          <w:tab w:val="left" w:pos="0"/>
        </w:tabs>
        <w:autoSpaceDE w:val="0"/>
        <w:autoSpaceDN w:val="0"/>
        <w:adjustRightInd w:val="0"/>
        <w:spacing w:after="0" w:line="240" w:lineRule="auto"/>
        <w:contextualSpacing/>
        <w:jc w:val="right"/>
        <w:rPr>
          <w:rFonts w:ascii="Verdana" w:eastAsia="MS Mincho" w:hAnsi="Verdana" w:cs="Tahoma"/>
          <w:sz w:val="24"/>
          <w:szCs w:val="24"/>
          <w:lang w:val="es-ES_tradnl" w:eastAsia="es-ES"/>
        </w:rPr>
      </w:pPr>
      <w:r w:rsidRPr="0032211A">
        <w:rPr>
          <w:rFonts w:ascii="Verdana" w:eastAsia="MS Mincho" w:hAnsi="Verdana" w:cs="Tahoma"/>
          <w:sz w:val="24"/>
          <w:szCs w:val="24"/>
          <w:lang w:val="es-ES_tradnl" w:eastAsia="es-ES"/>
        </w:rPr>
        <w:t xml:space="preserve">Ciudad de México, a </w:t>
      </w:r>
      <w:r w:rsidR="00D14C11">
        <w:rPr>
          <w:rFonts w:ascii="Verdana" w:eastAsia="MS Mincho" w:hAnsi="Verdana" w:cs="Tahoma"/>
          <w:sz w:val="24"/>
          <w:szCs w:val="24"/>
          <w:lang w:val="es-ES_tradnl" w:eastAsia="es-ES"/>
        </w:rPr>
        <w:t>28</w:t>
      </w:r>
      <w:r w:rsidRPr="0032211A">
        <w:rPr>
          <w:rFonts w:ascii="Verdana" w:eastAsia="MS Mincho" w:hAnsi="Verdana" w:cs="Tahoma"/>
          <w:sz w:val="24"/>
          <w:szCs w:val="24"/>
          <w:lang w:val="es-ES_tradnl" w:eastAsia="es-ES"/>
        </w:rPr>
        <w:t xml:space="preserve"> de </w:t>
      </w:r>
      <w:r w:rsidR="006F2F23">
        <w:rPr>
          <w:rFonts w:ascii="Verdana" w:eastAsia="MS Mincho" w:hAnsi="Verdana" w:cs="Tahoma"/>
          <w:sz w:val="24"/>
          <w:szCs w:val="24"/>
          <w:lang w:val="es-ES_tradnl" w:eastAsia="es-ES"/>
        </w:rPr>
        <w:t>octubre</w:t>
      </w:r>
      <w:r w:rsidR="00FC2C08">
        <w:rPr>
          <w:rFonts w:ascii="Verdana" w:eastAsia="MS Mincho" w:hAnsi="Verdana" w:cs="Tahoma"/>
          <w:sz w:val="24"/>
          <w:szCs w:val="24"/>
          <w:lang w:val="es-ES_tradnl" w:eastAsia="es-ES"/>
        </w:rPr>
        <w:t xml:space="preserve"> </w:t>
      </w:r>
      <w:r w:rsidRPr="0032211A">
        <w:rPr>
          <w:rFonts w:ascii="Verdana" w:eastAsia="MS Mincho" w:hAnsi="Verdana" w:cs="Tahoma"/>
          <w:sz w:val="24"/>
          <w:szCs w:val="24"/>
          <w:lang w:val="es-ES_tradnl" w:eastAsia="es-ES"/>
        </w:rPr>
        <w:t>de 20</w:t>
      </w:r>
      <w:r w:rsidR="00BF4163" w:rsidRPr="0032211A">
        <w:rPr>
          <w:rFonts w:ascii="Verdana" w:eastAsia="MS Mincho" w:hAnsi="Verdana" w:cs="Tahoma"/>
          <w:sz w:val="24"/>
          <w:szCs w:val="24"/>
          <w:lang w:val="es-ES_tradnl" w:eastAsia="es-ES"/>
        </w:rPr>
        <w:t>2</w:t>
      </w:r>
      <w:r w:rsidR="00041545" w:rsidRPr="0032211A">
        <w:rPr>
          <w:rFonts w:ascii="Verdana" w:eastAsia="MS Mincho" w:hAnsi="Verdana" w:cs="Tahoma"/>
          <w:sz w:val="24"/>
          <w:szCs w:val="24"/>
          <w:lang w:val="es-ES_tradnl" w:eastAsia="es-ES"/>
        </w:rPr>
        <w:t>2</w:t>
      </w:r>
      <w:r w:rsidR="00BF4163" w:rsidRPr="0032211A">
        <w:rPr>
          <w:rFonts w:ascii="Verdana" w:eastAsia="MS Mincho" w:hAnsi="Verdana" w:cs="Tahoma"/>
          <w:sz w:val="24"/>
          <w:szCs w:val="24"/>
          <w:lang w:val="es-ES_tradnl" w:eastAsia="es-ES"/>
        </w:rPr>
        <w:t>.</w:t>
      </w:r>
    </w:p>
    <w:p w:rsidR="00DB5B39" w:rsidRPr="00DB5B39" w:rsidRDefault="00DB5B39" w:rsidP="00DB5B39">
      <w:pPr>
        <w:spacing w:after="0" w:line="360" w:lineRule="auto"/>
        <w:contextualSpacing/>
        <w:rPr>
          <w:rFonts w:ascii="Verdana" w:eastAsiaTheme="minorHAnsi" w:hAnsi="Verdana" w:cstheme="minorBidi"/>
          <w:sz w:val="24"/>
          <w:szCs w:val="24"/>
        </w:rPr>
      </w:pPr>
    </w:p>
    <w:p w:rsidR="00DB5B39" w:rsidRPr="00DB5B39" w:rsidRDefault="00552D57" w:rsidP="00552D57">
      <w:pPr>
        <w:spacing w:after="0" w:line="240" w:lineRule="auto"/>
        <w:contextualSpacing/>
        <w:jc w:val="center"/>
        <w:rPr>
          <w:rFonts w:ascii="Verdana" w:eastAsiaTheme="minorHAnsi" w:hAnsi="Verdana" w:cstheme="minorBidi"/>
          <w:b/>
          <w:sz w:val="26"/>
          <w:szCs w:val="26"/>
        </w:rPr>
      </w:pPr>
      <w:r w:rsidRPr="00552D57">
        <w:rPr>
          <w:rFonts w:ascii="Verdana" w:eastAsiaTheme="minorHAnsi" w:hAnsi="Verdana" w:cstheme="minorBidi"/>
          <w:b/>
          <w:sz w:val="26"/>
          <w:szCs w:val="26"/>
        </w:rPr>
        <w:t>REFORMAS A LEY DE SALUD DE LA CDMX REPRESENTAN UN AVANCE PARA ELIMINAR LAS BARRERAS CULTURALES Y FÍSICAS QUE DIFICULTAN EL ACCESO OPORTUNO A SERVICIOS DE PREVENCIÓN, DETECCIÓN Y TRATAMIENTO DEL VIH Y OTRAS ITS</w:t>
      </w:r>
    </w:p>
    <w:p w:rsidR="00552D57" w:rsidRDefault="00552D57" w:rsidP="00DB5B39">
      <w:pPr>
        <w:spacing w:after="0" w:line="360" w:lineRule="auto"/>
        <w:contextualSpacing/>
        <w:jc w:val="both"/>
        <w:rPr>
          <w:rFonts w:ascii="Verdana" w:eastAsiaTheme="minorHAnsi" w:hAnsi="Verdana" w:cstheme="minorBidi"/>
          <w:sz w:val="24"/>
          <w:szCs w:val="24"/>
        </w:rPr>
      </w:pPr>
    </w:p>
    <w:p w:rsidR="00DB5B39" w:rsidRDefault="00DB5B39" w:rsidP="00DB5B39">
      <w:pPr>
        <w:spacing w:after="0" w:line="360" w:lineRule="auto"/>
        <w:contextualSpacing/>
        <w:jc w:val="both"/>
        <w:rPr>
          <w:rFonts w:ascii="Verdana" w:eastAsiaTheme="minorHAnsi" w:hAnsi="Verdana" w:cstheme="minorBidi"/>
          <w:sz w:val="24"/>
          <w:szCs w:val="24"/>
        </w:rPr>
      </w:pPr>
      <w:r w:rsidRPr="00DB5B39">
        <w:rPr>
          <w:rFonts w:ascii="Verdana" w:eastAsiaTheme="minorHAnsi" w:hAnsi="Verdana" w:cstheme="minorBidi"/>
          <w:sz w:val="24"/>
          <w:szCs w:val="24"/>
        </w:rPr>
        <w:t xml:space="preserve">El pasado lunes 24 de octubre entró en vigor el Decreto por el que se reforman los </w:t>
      </w:r>
      <w:r w:rsidR="00552D57">
        <w:rPr>
          <w:rFonts w:ascii="Verdana" w:eastAsiaTheme="minorHAnsi" w:hAnsi="Verdana" w:cstheme="minorBidi"/>
          <w:sz w:val="24"/>
          <w:szCs w:val="24"/>
        </w:rPr>
        <w:t>A</w:t>
      </w:r>
      <w:r w:rsidRPr="00DB5B39">
        <w:rPr>
          <w:rFonts w:ascii="Verdana" w:eastAsiaTheme="minorHAnsi" w:hAnsi="Verdana" w:cstheme="minorBidi"/>
          <w:sz w:val="24"/>
          <w:szCs w:val="24"/>
        </w:rPr>
        <w:t>rtículos 3, 75 y 79 de la Ley de Salud de la Ciudad de México. Las modificaciones y adiciones plantean una definición más amplia de perspectiva de género como metodología de análisis interseccional. Además, el texto legal explicita que los servicios de atención para VIH/SIDA y otras Infecciones de Transmisión Sexual (ITS) deben estar libres de estereotipos y garantizar que las personas usuarias de los mismos reciban tratamiento médico basado en evidencia científica, lo que fortalece la accesibilidad sin discriminación, así como la calidad de los servicios de salud.</w:t>
      </w:r>
    </w:p>
    <w:p w:rsidR="00DB5B39" w:rsidRPr="00DB5B39" w:rsidRDefault="00DB5B39" w:rsidP="00DB5B39">
      <w:pPr>
        <w:spacing w:after="0" w:line="360" w:lineRule="auto"/>
        <w:contextualSpacing/>
        <w:jc w:val="both"/>
        <w:rPr>
          <w:rFonts w:ascii="Verdana" w:eastAsiaTheme="minorHAnsi" w:hAnsi="Verdana" w:cstheme="minorBidi"/>
          <w:sz w:val="24"/>
          <w:szCs w:val="24"/>
        </w:rPr>
      </w:pPr>
    </w:p>
    <w:p w:rsidR="00DB5B39" w:rsidRDefault="00DB5B39" w:rsidP="00DB5B39">
      <w:pPr>
        <w:spacing w:after="0" w:line="360" w:lineRule="auto"/>
        <w:contextualSpacing/>
        <w:jc w:val="both"/>
        <w:rPr>
          <w:rFonts w:ascii="Verdana" w:eastAsiaTheme="minorHAnsi" w:hAnsi="Verdana" w:cstheme="minorBidi"/>
          <w:sz w:val="24"/>
          <w:szCs w:val="24"/>
        </w:rPr>
      </w:pPr>
      <w:r w:rsidRPr="00DB5B39">
        <w:rPr>
          <w:rFonts w:ascii="Verdana" w:eastAsiaTheme="minorHAnsi" w:hAnsi="Verdana" w:cstheme="minorBidi"/>
          <w:sz w:val="24"/>
          <w:szCs w:val="24"/>
        </w:rPr>
        <w:t>Aunado a lo anterior, las modificaciones plasman en el texto legal las acciones que ya venían realizándose todos los días en la capital para prevenir y atender de forma integral</w:t>
      </w:r>
      <w:r w:rsidRPr="00DB5B39">
        <w:rPr>
          <w:rFonts w:ascii="Verdana" w:eastAsiaTheme="minorHAnsi" w:hAnsi="Verdana" w:cstheme="minorBidi"/>
          <w:b/>
          <w:sz w:val="24"/>
          <w:szCs w:val="24"/>
        </w:rPr>
        <w:t xml:space="preserve"> </w:t>
      </w:r>
      <w:r w:rsidRPr="00DB5B39">
        <w:rPr>
          <w:rFonts w:ascii="Verdana" w:eastAsiaTheme="minorHAnsi" w:hAnsi="Verdana" w:cstheme="minorBidi"/>
          <w:sz w:val="24"/>
          <w:szCs w:val="24"/>
        </w:rPr>
        <w:t xml:space="preserve">el VIH y otras ITS con enfoque de derechos humanos, lo que brinda una mayor certeza jurídica- </w:t>
      </w:r>
      <w:r w:rsidR="001F6349" w:rsidRPr="00DB5B39">
        <w:rPr>
          <w:rFonts w:ascii="Verdana" w:eastAsiaTheme="minorHAnsi" w:hAnsi="Verdana" w:cstheme="minorBidi"/>
          <w:sz w:val="24"/>
          <w:szCs w:val="24"/>
        </w:rPr>
        <w:t>administrativa</w:t>
      </w:r>
      <w:r w:rsidRPr="00DB5B39">
        <w:rPr>
          <w:rFonts w:ascii="Verdana" w:eastAsiaTheme="minorHAnsi" w:hAnsi="Verdana" w:cstheme="minorBidi"/>
          <w:sz w:val="24"/>
          <w:szCs w:val="24"/>
        </w:rPr>
        <w:t xml:space="preserve"> para la institución, lo que a su vez brinda</w:t>
      </w:r>
      <w:r w:rsidR="001F6349">
        <w:rPr>
          <w:rFonts w:ascii="Verdana" w:eastAsiaTheme="minorHAnsi" w:hAnsi="Verdana" w:cstheme="minorBidi"/>
          <w:sz w:val="24"/>
          <w:szCs w:val="24"/>
        </w:rPr>
        <w:t xml:space="preserve"> seguridad</w:t>
      </w:r>
      <w:r w:rsidRPr="00DB5B39">
        <w:rPr>
          <w:rFonts w:ascii="Verdana" w:eastAsiaTheme="minorHAnsi" w:hAnsi="Verdana" w:cstheme="minorBidi"/>
          <w:sz w:val="24"/>
          <w:szCs w:val="24"/>
        </w:rPr>
        <w:t xml:space="preserve"> a la ciudadanía.</w:t>
      </w:r>
    </w:p>
    <w:p w:rsidR="00DB5B39" w:rsidRPr="00DB5B39" w:rsidRDefault="00DB5B39" w:rsidP="00DB5B39">
      <w:pPr>
        <w:spacing w:after="0" w:line="360" w:lineRule="auto"/>
        <w:contextualSpacing/>
        <w:jc w:val="both"/>
        <w:rPr>
          <w:rFonts w:ascii="Verdana" w:eastAsiaTheme="minorHAnsi" w:hAnsi="Verdana" w:cstheme="minorBidi"/>
          <w:sz w:val="24"/>
          <w:szCs w:val="24"/>
        </w:rPr>
      </w:pPr>
    </w:p>
    <w:p w:rsidR="00DB5B39" w:rsidRDefault="00DB5B39" w:rsidP="00DB5B39">
      <w:pPr>
        <w:spacing w:after="0" w:line="360" w:lineRule="auto"/>
        <w:contextualSpacing/>
        <w:jc w:val="both"/>
        <w:rPr>
          <w:rFonts w:ascii="Verdana" w:eastAsiaTheme="minorHAnsi" w:hAnsi="Verdana" w:cstheme="minorBidi"/>
          <w:sz w:val="24"/>
          <w:szCs w:val="24"/>
        </w:rPr>
      </w:pPr>
      <w:r w:rsidRPr="00DB5B39">
        <w:rPr>
          <w:rFonts w:ascii="Verdana" w:eastAsiaTheme="minorHAnsi" w:hAnsi="Verdana" w:cstheme="minorBidi"/>
          <w:sz w:val="24"/>
          <w:szCs w:val="24"/>
        </w:rPr>
        <w:t xml:space="preserve">Un acierto adicional de la modificación legal es la determinación de que las acciones emprendidas por los Servicios de Salud Pública de la Ciudad de México, realizados a través de la Unidad Administrativa para la Prevención y Atención Integral del VIH/SIDA, así como por las Clínicas </w:t>
      </w:r>
      <w:r w:rsidRPr="00DB5B39">
        <w:rPr>
          <w:rFonts w:ascii="Verdana" w:eastAsiaTheme="minorHAnsi" w:hAnsi="Verdana" w:cstheme="minorBidi"/>
          <w:sz w:val="24"/>
          <w:szCs w:val="24"/>
        </w:rPr>
        <w:lastRenderedPageBreak/>
        <w:t>Especializadas Condesa y Condesa Iztapala</w:t>
      </w:r>
      <w:r>
        <w:rPr>
          <w:rFonts w:ascii="Verdana" w:eastAsiaTheme="minorHAnsi" w:hAnsi="Verdana" w:cstheme="minorBidi"/>
          <w:sz w:val="24"/>
          <w:szCs w:val="24"/>
        </w:rPr>
        <w:t>pa</w:t>
      </w:r>
      <w:r w:rsidRPr="00DB5B39">
        <w:rPr>
          <w:rFonts w:ascii="Verdana" w:eastAsiaTheme="minorHAnsi" w:hAnsi="Verdana" w:cstheme="minorBidi"/>
          <w:sz w:val="24"/>
          <w:szCs w:val="24"/>
        </w:rPr>
        <w:t>, deben coordinarse de manera permanente con las alcaldías para brindar servicios de prevención y atención médica a población abierta con énfasis en las poblaciones clave de transmisión del VIH/SIDA.</w:t>
      </w:r>
    </w:p>
    <w:p w:rsidR="00DB5B39" w:rsidRPr="00DB5B39" w:rsidRDefault="00DB5B39" w:rsidP="00DB5B39">
      <w:pPr>
        <w:spacing w:after="0" w:line="360" w:lineRule="auto"/>
        <w:contextualSpacing/>
        <w:jc w:val="both"/>
        <w:rPr>
          <w:rFonts w:ascii="Verdana" w:eastAsiaTheme="minorHAnsi" w:hAnsi="Verdana" w:cstheme="minorBidi"/>
          <w:sz w:val="24"/>
          <w:szCs w:val="24"/>
        </w:rPr>
      </w:pPr>
    </w:p>
    <w:p w:rsidR="00DB5B39" w:rsidRDefault="00DB5B39" w:rsidP="00DB5B39">
      <w:pPr>
        <w:spacing w:after="0" w:line="360" w:lineRule="auto"/>
        <w:contextualSpacing/>
        <w:jc w:val="both"/>
        <w:rPr>
          <w:rFonts w:ascii="Verdana" w:eastAsiaTheme="minorHAnsi" w:hAnsi="Verdana" w:cstheme="minorBidi"/>
          <w:sz w:val="24"/>
          <w:szCs w:val="24"/>
        </w:rPr>
      </w:pPr>
      <w:r w:rsidRPr="00DB5B39">
        <w:rPr>
          <w:rFonts w:ascii="Verdana" w:eastAsiaTheme="minorHAnsi" w:hAnsi="Verdana" w:cstheme="minorBidi"/>
          <w:sz w:val="24"/>
          <w:szCs w:val="24"/>
        </w:rPr>
        <w:t>Para la</w:t>
      </w:r>
      <w:r w:rsidR="00482668">
        <w:rPr>
          <w:rFonts w:ascii="Verdana" w:eastAsiaTheme="minorHAnsi" w:hAnsi="Verdana" w:cstheme="minorBidi"/>
          <w:sz w:val="24"/>
          <w:szCs w:val="24"/>
        </w:rPr>
        <w:t xml:space="preserve"> Comisión de Derechos Humanos de la Ciudad de México</w:t>
      </w:r>
      <w:r w:rsidRPr="00DB5B39">
        <w:rPr>
          <w:rFonts w:ascii="Verdana" w:eastAsiaTheme="minorHAnsi" w:hAnsi="Verdana" w:cstheme="minorBidi"/>
          <w:sz w:val="24"/>
          <w:szCs w:val="24"/>
        </w:rPr>
        <w:t xml:space="preserve"> </w:t>
      </w:r>
      <w:r w:rsidR="00482668">
        <w:rPr>
          <w:rFonts w:ascii="Verdana" w:eastAsiaTheme="minorHAnsi" w:hAnsi="Verdana" w:cstheme="minorBidi"/>
          <w:sz w:val="24"/>
          <w:szCs w:val="24"/>
        </w:rPr>
        <w:t>(</w:t>
      </w:r>
      <w:r w:rsidRPr="00DB5B39">
        <w:rPr>
          <w:rFonts w:ascii="Verdana" w:eastAsiaTheme="minorHAnsi" w:hAnsi="Verdana" w:cstheme="minorBidi"/>
          <w:sz w:val="24"/>
          <w:szCs w:val="24"/>
        </w:rPr>
        <w:t>CDHCM</w:t>
      </w:r>
      <w:r w:rsidR="00482668">
        <w:rPr>
          <w:rFonts w:ascii="Verdana" w:eastAsiaTheme="minorHAnsi" w:hAnsi="Verdana" w:cstheme="minorBidi"/>
          <w:sz w:val="24"/>
          <w:szCs w:val="24"/>
        </w:rPr>
        <w:t>)</w:t>
      </w:r>
      <w:r w:rsidRPr="00DB5B39">
        <w:rPr>
          <w:rFonts w:ascii="Verdana" w:eastAsiaTheme="minorHAnsi" w:hAnsi="Verdana" w:cstheme="minorBidi"/>
          <w:sz w:val="24"/>
          <w:szCs w:val="24"/>
        </w:rPr>
        <w:t xml:space="preserve"> fortalecer las estrategias de prevención y atención del VIH y otras ITS en el ámbito más próximo a la población, como lo son las alcaldías, favorece la accesibilidad física de los servicios y la detección temprana para el acceso oportuno al tratamiento.</w:t>
      </w:r>
    </w:p>
    <w:p w:rsidR="00DB5B39" w:rsidRPr="00DB5B39" w:rsidRDefault="00DB5B39" w:rsidP="00DB5B39">
      <w:pPr>
        <w:spacing w:after="0" w:line="360" w:lineRule="auto"/>
        <w:contextualSpacing/>
        <w:jc w:val="both"/>
        <w:rPr>
          <w:rFonts w:ascii="Verdana" w:eastAsiaTheme="minorHAnsi" w:hAnsi="Verdana" w:cstheme="minorBidi"/>
          <w:sz w:val="24"/>
          <w:szCs w:val="24"/>
        </w:rPr>
      </w:pPr>
    </w:p>
    <w:p w:rsidR="00DB5B39" w:rsidRDefault="00DB5B39" w:rsidP="00DB5B39">
      <w:pPr>
        <w:spacing w:after="0" w:line="360" w:lineRule="auto"/>
        <w:contextualSpacing/>
        <w:jc w:val="both"/>
        <w:rPr>
          <w:rFonts w:ascii="Verdana" w:eastAsiaTheme="minorHAnsi" w:hAnsi="Verdana" w:cstheme="minorBidi"/>
          <w:sz w:val="24"/>
          <w:szCs w:val="24"/>
        </w:rPr>
      </w:pPr>
      <w:r w:rsidRPr="00DB5B39">
        <w:rPr>
          <w:rFonts w:ascii="Verdana" w:eastAsiaTheme="minorHAnsi" w:hAnsi="Verdana" w:cstheme="minorBidi"/>
          <w:sz w:val="24"/>
          <w:szCs w:val="24"/>
        </w:rPr>
        <w:t xml:space="preserve">Aunque acercar los servicios de prevención y atención al VIH y otras ITS a la población es siempre de la mayor relevancia, ahora es especialmente importante. Esto es así puesto que durante 2020 cayó en más de un 50% la detección de casos de VIH. A pesar de que la caída en la detección del virus fue resultado de la atención a la emergencia sanitaria causada por la pandemia de COVID-19, se observa que la coordinación permanente con los gobiernos de las demarcaciones territoriales de la capital genera mejores condiciones para ampliar el alcance de los servicios de prevención y atención de VIH y otras ITS en la actualidad y ante cualquier otra eventualidad. </w:t>
      </w:r>
    </w:p>
    <w:p w:rsidR="00D14C11" w:rsidRPr="00DB5B39" w:rsidRDefault="00D14C11" w:rsidP="00DB5B39">
      <w:pPr>
        <w:spacing w:after="0" w:line="360" w:lineRule="auto"/>
        <w:contextualSpacing/>
        <w:jc w:val="both"/>
        <w:rPr>
          <w:rFonts w:ascii="Verdana" w:eastAsiaTheme="minorHAnsi" w:hAnsi="Verdana" w:cstheme="minorBidi"/>
          <w:sz w:val="24"/>
          <w:szCs w:val="24"/>
        </w:rPr>
      </w:pPr>
    </w:p>
    <w:p w:rsidR="00D14C11" w:rsidRDefault="00DB5B39" w:rsidP="00D14C11">
      <w:pPr>
        <w:spacing w:after="0" w:line="360" w:lineRule="auto"/>
        <w:contextualSpacing/>
        <w:jc w:val="both"/>
        <w:rPr>
          <w:rFonts w:ascii="Verdana" w:eastAsiaTheme="minorHAnsi" w:hAnsi="Verdana" w:cstheme="minorBidi"/>
          <w:sz w:val="24"/>
          <w:szCs w:val="24"/>
        </w:rPr>
      </w:pPr>
      <w:r w:rsidRPr="00DB5B39">
        <w:rPr>
          <w:rFonts w:ascii="Verdana" w:eastAsiaTheme="minorHAnsi" w:hAnsi="Verdana" w:cstheme="minorBidi"/>
          <w:sz w:val="24"/>
          <w:szCs w:val="24"/>
        </w:rPr>
        <w:t>La Ciudad de México es la entidad federativa con mayor número de casos notificados de VIH en el país con el 13.7 %, por lo que robustecer las estrategias de prevención y atención al VIH sin discriminación, con pertinencia cultural y de género a toda la población</w:t>
      </w:r>
      <w:r w:rsidR="00D14C11">
        <w:rPr>
          <w:rFonts w:ascii="Verdana" w:eastAsiaTheme="minorHAnsi" w:hAnsi="Verdana" w:cstheme="minorBidi"/>
          <w:sz w:val="24"/>
          <w:szCs w:val="24"/>
        </w:rPr>
        <w:t>,</w:t>
      </w:r>
      <w:r w:rsidRPr="00DB5B39">
        <w:rPr>
          <w:rFonts w:ascii="Verdana" w:eastAsiaTheme="minorHAnsi" w:hAnsi="Verdana" w:cstheme="minorBidi"/>
          <w:sz w:val="24"/>
          <w:szCs w:val="24"/>
        </w:rPr>
        <w:t xml:space="preserve"> sin condicionar los servicios a la derechohabiencia a algún sistema de salud</w:t>
      </w:r>
      <w:r w:rsidR="00583A68">
        <w:rPr>
          <w:rFonts w:ascii="Verdana" w:eastAsiaTheme="minorHAnsi" w:hAnsi="Verdana" w:cstheme="minorBidi"/>
          <w:sz w:val="24"/>
          <w:szCs w:val="24"/>
        </w:rPr>
        <w:t>,</w:t>
      </w:r>
      <w:bookmarkStart w:id="0" w:name="_GoBack"/>
      <w:bookmarkEnd w:id="0"/>
      <w:r w:rsidRPr="00DB5B39">
        <w:rPr>
          <w:rFonts w:ascii="Verdana" w:eastAsiaTheme="minorHAnsi" w:hAnsi="Verdana" w:cstheme="minorBidi"/>
          <w:sz w:val="24"/>
          <w:szCs w:val="24"/>
        </w:rPr>
        <w:t xml:space="preserve"> resulta fundamental para la lucha contra el VIH y la atención digna de las personas en su diversidad.</w:t>
      </w:r>
    </w:p>
    <w:p w:rsidR="008E0CA1" w:rsidRPr="00006D08" w:rsidRDefault="00D14C11" w:rsidP="00D14C11">
      <w:pPr>
        <w:spacing w:after="0" w:line="360" w:lineRule="auto"/>
        <w:contextualSpacing/>
        <w:jc w:val="both"/>
        <w:rPr>
          <w:rFonts w:ascii="Verdana" w:hAnsi="Verdana"/>
          <w:sz w:val="24"/>
          <w:szCs w:val="24"/>
        </w:rPr>
      </w:pPr>
      <w:r w:rsidRPr="00006D08">
        <w:rPr>
          <w:rFonts w:ascii="Verdana" w:hAnsi="Verdana"/>
          <w:sz w:val="24"/>
          <w:szCs w:val="24"/>
        </w:rPr>
        <w:t xml:space="preserve"> </w:t>
      </w:r>
    </w:p>
    <w:p w:rsidR="008E0CA1" w:rsidRPr="008E0CA1" w:rsidRDefault="008E0CA1" w:rsidP="008E0CA1">
      <w:pPr>
        <w:snapToGrid w:val="0"/>
        <w:spacing w:after="0" w:line="360" w:lineRule="auto"/>
        <w:contextualSpacing/>
        <w:jc w:val="center"/>
        <w:rPr>
          <w:rFonts w:ascii="Verdana" w:hAnsi="Verdana"/>
          <w:b/>
          <w:i/>
          <w:sz w:val="24"/>
          <w:szCs w:val="24"/>
        </w:rPr>
      </w:pPr>
      <w:r w:rsidRPr="008E0CA1">
        <w:rPr>
          <w:rFonts w:ascii="Verdana" w:hAnsi="Verdana"/>
          <w:b/>
          <w:i/>
          <w:sz w:val="24"/>
          <w:szCs w:val="24"/>
        </w:rPr>
        <w:t>www.cdhcm.org.mx</w:t>
      </w:r>
    </w:p>
    <w:sectPr w:rsidR="008E0CA1" w:rsidRPr="008E0CA1" w:rsidSect="00D14C11">
      <w:pgSz w:w="12240" w:h="15840"/>
      <w:pgMar w:top="1134"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40E" w:rsidRDefault="00C9240E" w:rsidP="002B0D47">
      <w:pPr>
        <w:spacing w:after="0" w:line="240" w:lineRule="auto"/>
      </w:pPr>
      <w:r>
        <w:separator/>
      </w:r>
    </w:p>
  </w:endnote>
  <w:endnote w:type="continuationSeparator" w:id="0">
    <w:p w:rsidR="00C9240E" w:rsidRDefault="00C9240E" w:rsidP="002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40E" w:rsidRDefault="00C9240E" w:rsidP="002B0D47">
      <w:pPr>
        <w:spacing w:after="0" w:line="240" w:lineRule="auto"/>
      </w:pPr>
      <w:r>
        <w:separator/>
      </w:r>
    </w:p>
  </w:footnote>
  <w:footnote w:type="continuationSeparator" w:id="0">
    <w:p w:rsidR="00C9240E" w:rsidRDefault="00C9240E" w:rsidP="002B0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E8D"/>
    <w:multiLevelType w:val="hybridMultilevel"/>
    <w:tmpl w:val="A82E5FEC"/>
    <w:lvl w:ilvl="0" w:tplc="405EDE30">
      <w:numFmt w:val="bullet"/>
      <w:lvlText w:val=""/>
      <w:lvlJc w:val="left"/>
      <w:pPr>
        <w:ind w:left="720" w:hanging="360"/>
      </w:pPr>
      <w:rPr>
        <w:rFonts w:ascii="Symbol" w:eastAsia="Arial" w:hAnsi="Symbo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2473D0"/>
    <w:multiLevelType w:val="hybridMultilevel"/>
    <w:tmpl w:val="72360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7C6C56"/>
    <w:multiLevelType w:val="hybridMultilevel"/>
    <w:tmpl w:val="F40AB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FF6E99"/>
    <w:multiLevelType w:val="hybridMultilevel"/>
    <w:tmpl w:val="FB5A688E"/>
    <w:lvl w:ilvl="0" w:tplc="7A92C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B85FE6"/>
    <w:multiLevelType w:val="multilevel"/>
    <w:tmpl w:val="676ABCA0"/>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5" w15:restartNumberingAfterBreak="0">
    <w:nsid w:val="21AB5B31"/>
    <w:multiLevelType w:val="hybridMultilevel"/>
    <w:tmpl w:val="8138C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31261"/>
    <w:multiLevelType w:val="hybridMultilevel"/>
    <w:tmpl w:val="48B485A0"/>
    <w:lvl w:ilvl="0" w:tplc="48F0B312">
      <w:numFmt w:val="bullet"/>
      <w:lvlText w:val=""/>
      <w:lvlJc w:val="left"/>
      <w:pPr>
        <w:ind w:left="720" w:hanging="360"/>
      </w:pPr>
      <w:rPr>
        <w:rFonts w:ascii="Symbol" w:eastAsia="Arial Unicode MS" w:hAnsi="Symbol" w:cs="Arial Unicode MS" w:hint="default"/>
        <w:b w:val="0"/>
        <w:i/>
        <w:color w:val="33333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906F90"/>
    <w:multiLevelType w:val="hybridMultilevel"/>
    <w:tmpl w:val="4CF6FF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DA6613"/>
    <w:multiLevelType w:val="hybridMultilevel"/>
    <w:tmpl w:val="660EB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7D718D"/>
    <w:multiLevelType w:val="hybridMultilevel"/>
    <w:tmpl w:val="EEBC2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6C0D15"/>
    <w:multiLevelType w:val="hybridMultilevel"/>
    <w:tmpl w:val="4062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633714"/>
    <w:multiLevelType w:val="hybridMultilevel"/>
    <w:tmpl w:val="602E423E"/>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2" w15:restartNumberingAfterBreak="0">
    <w:nsid w:val="64973C73"/>
    <w:multiLevelType w:val="hybridMultilevel"/>
    <w:tmpl w:val="2B3AAFF2"/>
    <w:lvl w:ilvl="0" w:tplc="3072CB26">
      <w:start w:val="28"/>
      <w:numFmt w:val="bullet"/>
      <w:lvlText w:val=""/>
      <w:lvlJc w:val="left"/>
      <w:pPr>
        <w:ind w:left="720" w:hanging="360"/>
      </w:pPr>
      <w:rPr>
        <w:rFonts w:ascii="Symbol" w:eastAsia="Arial Unicode MS" w:hAnsi="Symbol" w:cs="Arial Unicode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10755A"/>
    <w:multiLevelType w:val="hybridMultilevel"/>
    <w:tmpl w:val="7492A63E"/>
    <w:lvl w:ilvl="0" w:tplc="618220D2">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58226D"/>
    <w:multiLevelType w:val="hybridMultilevel"/>
    <w:tmpl w:val="C89EC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
  </w:num>
  <w:num w:numId="5">
    <w:abstractNumId w:val="7"/>
  </w:num>
  <w:num w:numId="6">
    <w:abstractNumId w:val="10"/>
  </w:num>
  <w:num w:numId="7">
    <w:abstractNumId w:val="8"/>
  </w:num>
  <w:num w:numId="8">
    <w:abstractNumId w:val="5"/>
  </w:num>
  <w:num w:numId="9">
    <w:abstractNumId w:val="2"/>
  </w:num>
  <w:num w:numId="10">
    <w:abstractNumId w:val="3"/>
  </w:num>
  <w:num w:numId="11">
    <w:abstractNumId w:val="13"/>
  </w:num>
  <w:num w:numId="12">
    <w:abstractNumId w:val="9"/>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B9"/>
    <w:rsid w:val="00003F57"/>
    <w:rsid w:val="00006D08"/>
    <w:rsid w:val="00013C8A"/>
    <w:rsid w:val="000245BB"/>
    <w:rsid w:val="00041545"/>
    <w:rsid w:val="000448AE"/>
    <w:rsid w:val="00044BDE"/>
    <w:rsid w:val="00046DDA"/>
    <w:rsid w:val="000505D5"/>
    <w:rsid w:val="000627B0"/>
    <w:rsid w:val="00080B3F"/>
    <w:rsid w:val="00080C46"/>
    <w:rsid w:val="00085A66"/>
    <w:rsid w:val="00091044"/>
    <w:rsid w:val="00097DD6"/>
    <w:rsid w:val="000A47F0"/>
    <w:rsid w:val="000B2741"/>
    <w:rsid w:val="000C778A"/>
    <w:rsid w:val="000D3DBA"/>
    <w:rsid w:val="000D4C88"/>
    <w:rsid w:val="000E08B6"/>
    <w:rsid w:val="000E16FF"/>
    <w:rsid w:val="000E657B"/>
    <w:rsid w:val="000F2942"/>
    <w:rsid w:val="000F2F66"/>
    <w:rsid w:val="000F60A4"/>
    <w:rsid w:val="00120709"/>
    <w:rsid w:val="001213C3"/>
    <w:rsid w:val="00123019"/>
    <w:rsid w:val="00126377"/>
    <w:rsid w:val="00143C86"/>
    <w:rsid w:val="00143DD3"/>
    <w:rsid w:val="00145DFC"/>
    <w:rsid w:val="00145F4B"/>
    <w:rsid w:val="00146199"/>
    <w:rsid w:val="0015604D"/>
    <w:rsid w:val="001849F5"/>
    <w:rsid w:val="00187134"/>
    <w:rsid w:val="00192A2B"/>
    <w:rsid w:val="0019332C"/>
    <w:rsid w:val="00194DE1"/>
    <w:rsid w:val="001A40E0"/>
    <w:rsid w:val="001A4EB6"/>
    <w:rsid w:val="001C467E"/>
    <w:rsid w:val="001D1608"/>
    <w:rsid w:val="001D5623"/>
    <w:rsid w:val="001D584A"/>
    <w:rsid w:val="001D5EE6"/>
    <w:rsid w:val="001D740C"/>
    <w:rsid w:val="001E3D53"/>
    <w:rsid w:val="001E400C"/>
    <w:rsid w:val="001E40EB"/>
    <w:rsid w:val="001F4302"/>
    <w:rsid w:val="001F4CE9"/>
    <w:rsid w:val="001F6349"/>
    <w:rsid w:val="00213E5B"/>
    <w:rsid w:val="00215D2F"/>
    <w:rsid w:val="00222910"/>
    <w:rsid w:val="00225C2B"/>
    <w:rsid w:val="00231116"/>
    <w:rsid w:val="00234A94"/>
    <w:rsid w:val="00242586"/>
    <w:rsid w:val="00251837"/>
    <w:rsid w:val="002656FA"/>
    <w:rsid w:val="00266962"/>
    <w:rsid w:val="00283A8B"/>
    <w:rsid w:val="00284525"/>
    <w:rsid w:val="00287C80"/>
    <w:rsid w:val="00292766"/>
    <w:rsid w:val="002A3F65"/>
    <w:rsid w:val="002B05A5"/>
    <w:rsid w:val="002B0D47"/>
    <w:rsid w:val="002B1600"/>
    <w:rsid w:val="002C0A49"/>
    <w:rsid w:val="002C4A4B"/>
    <w:rsid w:val="002E03CC"/>
    <w:rsid w:val="002F0A23"/>
    <w:rsid w:val="002F4BAF"/>
    <w:rsid w:val="0030734B"/>
    <w:rsid w:val="00307B92"/>
    <w:rsid w:val="00315CFB"/>
    <w:rsid w:val="0032211A"/>
    <w:rsid w:val="00326959"/>
    <w:rsid w:val="003303E5"/>
    <w:rsid w:val="00330537"/>
    <w:rsid w:val="0033725D"/>
    <w:rsid w:val="00360346"/>
    <w:rsid w:val="00363830"/>
    <w:rsid w:val="003953C1"/>
    <w:rsid w:val="00397409"/>
    <w:rsid w:val="003A1F87"/>
    <w:rsid w:val="003B3AAC"/>
    <w:rsid w:val="003B453D"/>
    <w:rsid w:val="003B4F57"/>
    <w:rsid w:val="003B5680"/>
    <w:rsid w:val="003C3F69"/>
    <w:rsid w:val="003C68C1"/>
    <w:rsid w:val="003C77EA"/>
    <w:rsid w:val="003D12A3"/>
    <w:rsid w:val="003D5D06"/>
    <w:rsid w:val="003E1B84"/>
    <w:rsid w:val="003E46CF"/>
    <w:rsid w:val="003E4A10"/>
    <w:rsid w:val="003F0167"/>
    <w:rsid w:val="00420F61"/>
    <w:rsid w:val="00424870"/>
    <w:rsid w:val="00430EBC"/>
    <w:rsid w:val="00432EF8"/>
    <w:rsid w:val="004331CA"/>
    <w:rsid w:val="00433D65"/>
    <w:rsid w:val="00433DC7"/>
    <w:rsid w:val="0044318A"/>
    <w:rsid w:val="004541EE"/>
    <w:rsid w:val="00460426"/>
    <w:rsid w:val="00477D0A"/>
    <w:rsid w:val="00482668"/>
    <w:rsid w:val="00483F50"/>
    <w:rsid w:val="00487EA5"/>
    <w:rsid w:val="004919CC"/>
    <w:rsid w:val="004A000A"/>
    <w:rsid w:val="004B293C"/>
    <w:rsid w:val="004B38AF"/>
    <w:rsid w:val="004C64C1"/>
    <w:rsid w:val="004D3428"/>
    <w:rsid w:val="004D358B"/>
    <w:rsid w:val="004D3D98"/>
    <w:rsid w:val="004E1C68"/>
    <w:rsid w:val="004F1E90"/>
    <w:rsid w:val="00503134"/>
    <w:rsid w:val="0051697C"/>
    <w:rsid w:val="00522731"/>
    <w:rsid w:val="0052614B"/>
    <w:rsid w:val="00532B1D"/>
    <w:rsid w:val="005345A2"/>
    <w:rsid w:val="00552D57"/>
    <w:rsid w:val="00554AE6"/>
    <w:rsid w:val="005609AD"/>
    <w:rsid w:val="00583A68"/>
    <w:rsid w:val="00597C45"/>
    <w:rsid w:val="005A4ACA"/>
    <w:rsid w:val="005C3B31"/>
    <w:rsid w:val="005D0021"/>
    <w:rsid w:val="005D08AC"/>
    <w:rsid w:val="005D181D"/>
    <w:rsid w:val="005D6673"/>
    <w:rsid w:val="005F2571"/>
    <w:rsid w:val="005F754E"/>
    <w:rsid w:val="0060444E"/>
    <w:rsid w:val="00605BB9"/>
    <w:rsid w:val="006251C4"/>
    <w:rsid w:val="00631C1A"/>
    <w:rsid w:val="00651406"/>
    <w:rsid w:val="00654ECE"/>
    <w:rsid w:val="0067171E"/>
    <w:rsid w:val="00672677"/>
    <w:rsid w:val="006A2245"/>
    <w:rsid w:val="006A373B"/>
    <w:rsid w:val="006B23E1"/>
    <w:rsid w:val="006D0113"/>
    <w:rsid w:val="006D53B7"/>
    <w:rsid w:val="006F12B5"/>
    <w:rsid w:val="006F2F23"/>
    <w:rsid w:val="006F3B42"/>
    <w:rsid w:val="007113FC"/>
    <w:rsid w:val="007130FA"/>
    <w:rsid w:val="007133FC"/>
    <w:rsid w:val="00716149"/>
    <w:rsid w:val="00720139"/>
    <w:rsid w:val="00732B60"/>
    <w:rsid w:val="00743A88"/>
    <w:rsid w:val="00747B2C"/>
    <w:rsid w:val="007817B6"/>
    <w:rsid w:val="00784E0F"/>
    <w:rsid w:val="00791977"/>
    <w:rsid w:val="007A2C1E"/>
    <w:rsid w:val="007B77F2"/>
    <w:rsid w:val="007C4AD3"/>
    <w:rsid w:val="007C73DA"/>
    <w:rsid w:val="007D49B5"/>
    <w:rsid w:val="007D6EC7"/>
    <w:rsid w:val="007E2293"/>
    <w:rsid w:val="007E2CF6"/>
    <w:rsid w:val="007E4C4B"/>
    <w:rsid w:val="007E57D0"/>
    <w:rsid w:val="00801FE4"/>
    <w:rsid w:val="00807D8E"/>
    <w:rsid w:val="00814E26"/>
    <w:rsid w:val="00822DD9"/>
    <w:rsid w:val="008254CE"/>
    <w:rsid w:val="0083055C"/>
    <w:rsid w:val="008305FB"/>
    <w:rsid w:val="00842AF5"/>
    <w:rsid w:val="0086166F"/>
    <w:rsid w:val="008729EB"/>
    <w:rsid w:val="00886F21"/>
    <w:rsid w:val="00887EB8"/>
    <w:rsid w:val="008A5807"/>
    <w:rsid w:val="008A669E"/>
    <w:rsid w:val="008A6FFA"/>
    <w:rsid w:val="008B3294"/>
    <w:rsid w:val="008C5CFA"/>
    <w:rsid w:val="008C5D29"/>
    <w:rsid w:val="008D0E8F"/>
    <w:rsid w:val="008D2B70"/>
    <w:rsid w:val="008D5166"/>
    <w:rsid w:val="008D784D"/>
    <w:rsid w:val="008E0CA1"/>
    <w:rsid w:val="008F23DC"/>
    <w:rsid w:val="008F5D15"/>
    <w:rsid w:val="00900E98"/>
    <w:rsid w:val="00905457"/>
    <w:rsid w:val="009152D8"/>
    <w:rsid w:val="00915D49"/>
    <w:rsid w:val="00917D91"/>
    <w:rsid w:val="00922BE7"/>
    <w:rsid w:val="009261EF"/>
    <w:rsid w:val="00926C86"/>
    <w:rsid w:val="00927112"/>
    <w:rsid w:val="009333D3"/>
    <w:rsid w:val="00934934"/>
    <w:rsid w:val="009371AB"/>
    <w:rsid w:val="009438EA"/>
    <w:rsid w:val="009536D1"/>
    <w:rsid w:val="00962888"/>
    <w:rsid w:val="00964785"/>
    <w:rsid w:val="009768F3"/>
    <w:rsid w:val="00980302"/>
    <w:rsid w:val="009812EC"/>
    <w:rsid w:val="009829C3"/>
    <w:rsid w:val="00991B0A"/>
    <w:rsid w:val="00996960"/>
    <w:rsid w:val="009A55DE"/>
    <w:rsid w:val="009B127A"/>
    <w:rsid w:val="009D05B7"/>
    <w:rsid w:val="009D3989"/>
    <w:rsid w:val="009D5434"/>
    <w:rsid w:val="009E1B18"/>
    <w:rsid w:val="009E1DDF"/>
    <w:rsid w:val="009E54E8"/>
    <w:rsid w:val="009E6B14"/>
    <w:rsid w:val="00A06972"/>
    <w:rsid w:val="00A11183"/>
    <w:rsid w:val="00A13C07"/>
    <w:rsid w:val="00A32021"/>
    <w:rsid w:val="00A45615"/>
    <w:rsid w:val="00A47644"/>
    <w:rsid w:val="00A54AD6"/>
    <w:rsid w:val="00A554C8"/>
    <w:rsid w:val="00A717DA"/>
    <w:rsid w:val="00A8531F"/>
    <w:rsid w:val="00A92F8A"/>
    <w:rsid w:val="00AA0571"/>
    <w:rsid w:val="00AA2BD7"/>
    <w:rsid w:val="00AC62B5"/>
    <w:rsid w:val="00AC7102"/>
    <w:rsid w:val="00AD1179"/>
    <w:rsid w:val="00AD4C7C"/>
    <w:rsid w:val="00AD5098"/>
    <w:rsid w:val="00B00E1F"/>
    <w:rsid w:val="00B0449E"/>
    <w:rsid w:val="00B316D2"/>
    <w:rsid w:val="00B3248C"/>
    <w:rsid w:val="00B477D2"/>
    <w:rsid w:val="00B56F87"/>
    <w:rsid w:val="00B579E5"/>
    <w:rsid w:val="00B61CD5"/>
    <w:rsid w:val="00B83349"/>
    <w:rsid w:val="00B83565"/>
    <w:rsid w:val="00B86E8E"/>
    <w:rsid w:val="00B93147"/>
    <w:rsid w:val="00BA2AD1"/>
    <w:rsid w:val="00BB0107"/>
    <w:rsid w:val="00BB78D9"/>
    <w:rsid w:val="00BC255E"/>
    <w:rsid w:val="00BC2A6B"/>
    <w:rsid w:val="00BE3F3A"/>
    <w:rsid w:val="00BE6146"/>
    <w:rsid w:val="00BF4163"/>
    <w:rsid w:val="00C14FFB"/>
    <w:rsid w:val="00C24338"/>
    <w:rsid w:val="00C30CEB"/>
    <w:rsid w:val="00C35752"/>
    <w:rsid w:val="00C45078"/>
    <w:rsid w:val="00C5200F"/>
    <w:rsid w:val="00C614BC"/>
    <w:rsid w:val="00C744B6"/>
    <w:rsid w:val="00C75064"/>
    <w:rsid w:val="00C8128E"/>
    <w:rsid w:val="00C9240E"/>
    <w:rsid w:val="00C924B5"/>
    <w:rsid w:val="00C96F33"/>
    <w:rsid w:val="00CA58CC"/>
    <w:rsid w:val="00CB2DA9"/>
    <w:rsid w:val="00CB6B33"/>
    <w:rsid w:val="00CB7B60"/>
    <w:rsid w:val="00CC2F4D"/>
    <w:rsid w:val="00CE059B"/>
    <w:rsid w:val="00CE2CF9"/>
    <w:rsid w:val="00D066D6"/>
    <w:rsid w:val="00D14C11"/>
    <w:rsid w:val="00D26AE2"/>
    <w:rsid w:val="00D440BC"/>
    <w:rsid w:val="00D45580"/>
    <w:rsid w:val="00D47F26"/>
    <w:rsid w:val="00D539F0"/>
    <w:rsid w:val="00D542BA"/>
    <w:rsid w:val="00D6783B"/>
    <w:rsid w:val="00D74E9C"/>
    <w:rsid w:val="00D8579D"/>
    <w:rsid w:val="00DB5B39"/>
    <w:rsid w:val="00DC498A"/>
    <w:rsid w:val="00DE7736"/>
    <w:rsid w:val="00DF31F3"/>
    <w:rsid w:val="00DF4B40"/>
    <w:rsid w:val="00DF6D2C"/>
    <w:rsid w:val="00E048A6"/>
    <w:rsid w:val="00E06D65"/>
    <w:rsid w:val="00E0744D"/>
    <w:rsid w:val="00E102D9"/>
    <w:rsid w:val="00E104D3"/>
    <w:rsid w:val="00E22B3B"/>
    <w:rsid w:val="00E23870"/>
    <w:rsid w:val="00E3495A"/>
    <w:rsid w:val="00E451A5"/>
    <w:rsid w:val="00E45F75"/>
    <w:rsid w:val="00E509D7"/>
    <w:rsid w:val="00E633A0"/>
    <w:rsid w:val="00E63ACE"/>
    <w:rsid w:val="00E70429"/>
    <w:rsid w:val="00E8539E"/>
    <w:rsid w:val="00EA0FD2"/>
    <w:rsid w:val="00EA2259"/>
    <w:rsid w:val="00EA4904"/>
    <w:rsid w:val="00EB6F4C"/>
    <w:rsid w:val="00EC38E2"/>
    <w:rsid w:val="00ED2EC4"/>
    <w:rsid w:val="00ED686C"/>
    <w:rsid w:val="00EE2157"/>
    <w:rsid w:val="00EE6BAA"/>
    <w:rsid w:val="00F00148"/>
    <w:rsid w:val="00F12244"/>
    <w:rsid w:val="00F12F16"/>
    <w:rsid w:val="00F20C08"/>
    <w:rsid w:val="00F2420B"/>
    <w:rsid w:val="00F26F45"/>
    <w:rsid w:val="00F27D7B"/>
    <w:rsid w:val="00F3067D"/>
    <w:rsid w:val="00F66004"/>
    <w:rsid w:val="00F7503D"/>
    <w:rsid w:val="00FB5AFF"/>
    <w:rsid w:val="00FC065F"/>
    <w:rsid w:val="00FC0E3A"/>
    <w:rsid w:val="00FC2C08"/>
    <w:rsid w:val="00FD7F51"/>
    <w:rsid w:val="00FE4E64"/>
    <w:rsid w:val="00FE7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CE3E"/>
  <w15:chartTrackingRefBased/>
  <w15:docId w15:val="{514ABF83-B018-4064-98CB-7B63D9B0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12F16"/>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uiPriority w:val="99"/>
    <w:unhideWhenUsed/>
    <w:rsid w:val="00743A88"/>
    <w:rPr>
      <w:color w:val="0000FF"/>
      <w:u w:val="single"/>
    </w:rPr>
  </w:style>
  <w:style w:type="character" w:customStyle="1" w:styleId="css-901oao">
    <w:name w:val="css-901oao"/>
    <w:rsid w:val="00C924B5"/>
  </w:style>
  <w:style w:type="character" w:customStyle="1" w:styleId="r-18u37iz">
    <w:name w:val="r-18u37iz"/>
    <w:rsid w:val="00C924B5"/>
  </w:style>
  <w:style w:type="character" w:styleId="Mencinsinresolver">
    <w:name w:val="Unresolved Mention"/>
    <w:uiPriority w:val="99"/>
    <w:semiHidden/>
    <w:unhideWhenUsed/>
    <w:rsid w:val="0052614B"/>
    <w:rPr>
      <w:color w:val="605E5C"/>
      <w:shd w:val="clear" w:color="auto" w:fill="E1DFDD"/>
    </w:rPr>
  </w:style>
  <w:style w:type="paragraph" w:styleId="Textonotapie">
    <w:name w:val="footnote text"/>
    <w:basedOn w:val="Normal"/>
    <w:link w:val="TextonotapieCar"/>
    <w:uiPriority w:val="99"/>
    <w:unhideWhenUsed/>
    <w:rsid w:val="002B0D47"/>
    <w:pPr>
      <w:spacing w:after="0" w:line="240" w:lineRule="auto"/>
    </w:pPr>
    <w:rPr>
      <w:sz w:val="20"/>
      <w:szCs w:val="20"/>
    </w:rPr>
  </w:style>
  <w:style w:type="character" w:customStyle="1" w:styleId="TextonotapieCar">
    <w:name w:val="Texto nota pie Car"/>
    <w:link w:val="Textonotapie"/>
    <w:uiPriority w:val="99"/>
    <w:rsid w:val="002B0D47"/>
    <w:rPr>
      <w:lang w:eastAsia="en-US"/>
    </w:rPr>
  </w:style>
  <w:style w:type="paragraph" w:customStyle="1" w:styleId="Cuerpo">
    <w:name w:val="Cuerpo"/>
    <w:rsid w:val="002B0D4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inguno">
    <w:name w:val="Ninguno"/>
    <w:rsid w:val="002B0D47"/>
  </w:style>
  <w:style w:type="character" w:customStyle="1" w:styleId="Hyperlink0">
    <w:name w:val="Hyperlink.0"/>
    <w:rsid w:val="002B0D47"/>
    <w:rPr>
      <w:color w:val="0000FF"/>
      <w:u w:val="single" w:color="0000FF"/>
      <w14:textOutline w14:w="0" w14:cap="rnd" w14:cmpd="sng" w14:algn="ctr">
        <w14:noFill/>
        <w14:prstDash w14:val="solid"/>
        <w14:bevel/>
      </w14:textOutline>
    </w:rPr>
  </w:style>
  <w:style w:type="paragraph" w:styleId="Prrafodelista">
    <w:name w:val="List Paragraph"/>
    <w:basedOn w:val="Normal"/>
    <w:uiPriority w:val="34"/>
    <w:qFormat/>
    <w:rsid w:val="002B0D47"/>
    <w:pPr>
      <w:ind w:left="720"/>
      <w:contextualSpacing/>
    </w:pPr>
  </w:style>
  <w:style w:type="character" w:styleId="Refdenotaalpie">
    <w:name w:val="footnote reference"/>
    <w:uiPriority w:val="99"/>
    <w:semiHidden/>
    <w:unhideWhenUsed/>
    <w:rsid w:val="00360346"/>
    <w:rPr>
      <w:vertAlign w:val="superscript"/>
    </w:rPr>
  </w:style>
  <w:style w:type="paragraph" w:styleId="Textodeglobo">
    <w:name w:val="Balloon Text"/>
    <w:basedOn w:val="Normal"/>
    <w:link w:val="TextodegloboCar"/>
    <w:uiPriority w:val="99"/>
    <w:semiHidden/>
    <w:unhideWhenUsed/>
    <w:rsid w:val="000E657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E657B"/>
    <w:rPr>
      <w:rFonts w:ascii="Segoe UI" w:hAnsi="Segoe UI" w:cs="Segoe UI"/>
      <w:sz w:val="18"/>
      <w:szCs w:val="18"/>
      <w:lang w:eastAsia="en-US"/>
    </w:rPr>
  </w:style>
  <w:style w:type="character" w:styleId="Textoennegrita">
    <w:name w:val="Strong"/>
    <w:uiPriority w:val="22"/>
    <w:qFormat/>
    <w:rsid w:val="005D0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0573">
      <w:bodyDiv w:val="1"/>
      <w:marLeft w:val="0"/>
      <w:marRight w:val="0"/>
      <w:marTop w:val="0"/>
      <w:marBottom w:val="0"/>
      <w:divBdr>
        <w:top w:val="none" w:sz="0" w:space="0" w:color="auto"/>
        <w:left w:val="none" w:sz="0" w:space="0" w:color="auto"/>
        <w:bottom w:val="none" w:sz="0" w:space="0" w:color="auto"/>
        <w:right w:val="none" w:sz="0" w:space="0" w:color="auto"/>
      </w:divBdr>
      <w:divsChild>
        <w:div w:id="515197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6972978">
      <w:bodyDiv w:val="1"/>
      <w:marLeft w:val="0"/>
      <w:marRight w:val="0"/>
      <w:marTop w:val="0"/>
      <w:marBottom w:val="0"/>
      <w:divBdr>
        <w:top w:val="none" w:sz="0" w:space="0" w:color="auto"/>
        <w:left w:val="none" w:sz="0" w:space="0" w:color="auto"/>
        <w:bottom w:val="none" w:sz="0" w:space="0" w:color="auto"/>
        <w:right w:val="none" w:sz="0" w:space="0" w:color="auto"/>
      </w:divBdr>
    </w:div>
    <w:div w:id="775369949">
      <w:bodyDiv w:val="1"/>
      <w:marLeft w:val="0"/>
      <w:marRight w:val="0"/>
      <w:marTop w:val="0"/>
      <w:marBottom w:val="0"/>
      <w:divBdr>
        <w:top w:val="none" w:sz="0" w:space="0" w:color="auto"/>
        <w:left w:val="none" w:sz="0" w:space="0" w:color="auto"/>
        <w:bottom w:val="none" w:sz="0" w:space="0" w:color="auto"/>
        <w:right w:val="none" w:sz="0" w:space="0" w:color="auto"/>
      </w:divBdr>
    </w:div>
    <w:div w:id="11150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C24C-A969-4D8A-980F-F2ED740A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Cardenas</dc:creator>
  <cp:keywords/>
  <dc:description/>
  <cp:lastModifiedBy>Fernando Francisco Cardenas Oropeza</cp:lastModifiedBy>
  <cp:revision>3</cp:revision>
  <cp:lastPrinted>2022-08-24T21:44:00Z</cp:lastPrinted>
  <dcterms:created xsi:type="dcterms:W3CDTF">2022-10-27T23:39:00Z</dcterms:created>
  <dcterms:modified xsi:type="dcterms:W3CDTF">2022-10-27T23:57:00Z</dcterms:modified>
</cp:coreProperties>
</file>